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eastAsia="黑体"/>
          <w:b/>
          <w:sz w:val="36"/>
          <w:szCs w:val="36"/>
        </w:rPr>
      </w:pPr>
      <w:r>
        <w:rPr>
          <w:rFonts w:hint="eastAsia" w:ascii="Times New Roman" w:eastAsia="黑体"/>
          <w:szCs w:val="32"/>
        </w:rPr>
        <w:t>附件</w:t>
      </w:r>
      <w:r>
        <w:rPr>
          <w:rFonts w:ascii="Times New Roman" w:eastAsia="黑体"/>
          <w:szCs w:val="32"/>
        </w:rPr>
        <w:t>2</w:t>
      </w:r>
    </w:p>
    <w:p>
      <w:pPr>
        <w:widowControl/>
        <w:spacing w:line="560" w:lineRule="exact"/>
        <w:jc w:val="center"/>
        <w:rPr>
          <w:rFonts w:hint="eastAsia" w:hAnsi="黑体" w:eastAsia="方正小标宋简体"/>
          <w:sz w:val="36"/>
          <w:szCs w:val="36"/>
        </w:rPr>
      </w:pPr>
      <w:r>
        <w:rPr>
          <w:rFonts w:hint="eastAsia" w:hAnsi="黑体" w:eastAsia="方正小标宋简体"/>
          <w:sz w:val="36"/>
          <w:szCs w:val="36"/>
        </w:rPr>
        <w:t>江苏省2017年普通高校招生体育、艺术专业统考</w:t>
      </w:r>
    </w:p>
    <w:p>
      <w:pPr>
        <w:widowControl/>
        <w:spacing w:after="312" w:afterLines="100" w:line="560" w:lineRule="exact"/>
        <w:jc w:val="center"/>
        <w:rPr>
          <w:rFonts w:hint="eastAsia" w:hAnsi="黑体" w:eastAsia="方正小标宋简体"/>
          <w:sz w:val="36"/>
          <w:szCs w:val="36"/>
        </w:rPr>
      </w:pPr>
      <w:r>
        <w:rPr>
          <w:rFonts w:hint="eastAsia" w:hAnsi="黑体" w:eastAsia="方正小标宋简体"/>
          <w:sz w:val="36"/>
          <w:szCs w:val="36"/>
        </w:rPr>
        <w:t>专家评委信息简表</w:t>
      </w:r>
      <w:bookmarkStart w:id="0" w:name="_GoBack"/>
      <w:bookmarkEnd w:id="0"/>
    </w:p>
    <w:p>
      <w:pPr>
        <w:widowControl/>
        <w:spacing w:line="360" w:lineRule="auto"/>
        <w:ind w:firstLine="150" w:firstLineChars="50"/>
        <w:rPr>
          <w:rFonts w:ascii="Times New Roman" w:eastAsia="楷体_GB2312"/>
          <w:sz w:val="28"/>
          <w:u w:val="single"/>
        </w:rPr>
      </w:pPr>
      <w:r>
        <w:rPr>
          <w:rFonts w:hint="eastAsia" w:ascii="Times New Roman"/>
          <w:sz w:val="30"/>
          <w:szCs w:val="30"/>
        </w:rPr>
        <w:t>学校</w:t>
      </w:r>
      <w:r>
        <w:rPr>
          <w:rFonts w:ascii="Times New Roman"/>
          <w:sz w:val="30"/>
          <w:szCs w:val="30"/>
          <w:u w:val="single"/>
        </w:rPr>
        <w:t xml:space="preserve"> </w:t>
      </w:r>
      <w:r>
        <w:rPr>
          <w:rFonts w:ascii="Times New Roman" w:eastAsia="楷体_GB2312"/>
          <w:sz w:val="28"/>
          <w:u w:val="single"/>
        </w:rPr>
        <w:t xml:space="preserve">             </w:t>
      </w:r>
      <w:r>
        <w:rPr>
          <w:rFonts w:ascii="Times New Roman" w:eastAsia="楷体_GB2312"/>
          <w:sz w:val="28"/>
        </w:rPr>
        <w:t xml:space="preserve"> </w:t>
      </w:r>
      <w:r>
        <w:rPr>
          <w:rFonts w:hint="eastAsia" w:ascii="Times New Roman"/>
          <w:sz w:val="30"/>
        </w:rPr>
        <w:t>指定上报</w:t>
      </w:r>
      <w:r>
        <w:rPr>
          <w:rFonts w:hint="eastAsia" w:ascii="Times New Roman"/>
          <w:sz w:val="30"/>
          <w:szCs w:val="45"/>
        </w:rPr>
        <w:t>类型</w:t>
      </w:r>
      <w:r>
        <w:rPr>
          <w:rFonts w:ascii="Times New Roman"/>
          <w:sz w:val="30"/>
          <w:szCs w:val="45"/>
        </w:rPr>
        <w:t>:</w:t>
      </w:r>
      <w:r>
        <w:rPr>
          <w:rFonts w:hint="eastAsia" w:ascii="Times New Roman"/>
          <w:sz w:val="30"/>
          <w:szCs w:val="45"/>
        </w:rPr>
        <w:t>（美术、音乐、编导、体育）</w:t>
      </w:r>
    </w:p>
    <w:tbl>
      <w:tblPr>
        <w:tblStyle w:val="3"/>
        <w:tblW w:w="8711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"/>
        <w:gridCol w:w="911"/>
        <w:gridCol w:w="44"/>
        <w:gridCol w:w="564"/>
        <w:gridCol w:w="696"/>
        <w:gridCol w:w="690"/>
        <w:gridCol w:w="570"/>
        <w:gridCol w:w="775"/>
        <w:gridCol w:w="1208"/>
        <w:gridCol w:w="322"/>
        <w:gridCol w:w="1360"/>
        <w:gridCol w:w="1378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名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民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族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出生年月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政治面貌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最高学历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最高学位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教学专业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主授课程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承担评判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项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目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裁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判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等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级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部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门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住宅电话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</w:rPr>
              <w:t>机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电子邮件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（含学历和工作经历，从大学时填起）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个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/>
                <w:sz w:val="24"/>
                <w:szCs w:val="24"/>
              </w:rPr>
              <w:t>人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/>
                <w:sz w:val="24"/>
                <w:szCs w:val="24"/>
              </w:rPr>
              <w:t>简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/>
                <w:sz w:val="24"/>
                <w:szCs w:val="24"/>
              </w:rPr>
              <w:t>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起始年月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终止年月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单位、部门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职务、职称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567" w:hRule="atLeast"/>
          <w:jc w:val="center"/>
        </w:trPr>
        <w:tc>
          <w:tcPr>
            <w:tcW w:w="108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2" w:type="dxa"/>
          <w:cantSplit/>
          <w:trHeight w:val="1977" w:hRule="atLeast"/>
          <w:jc w:val="center"/>
        </w:trPr>
        <w:tc>
          <w:tcPr>
            <w:tcW w:w="9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近年来教学情况</w:t>
            </w:r>
          </w:p>
        </w:tc>
        <w:tc>
          <w:tcPr>
            <w:tcW w:w="7668" w:type="dxa"/>
            <w:gridSpan w:val="11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2" w:type="dxa"/>
          <w:cantSplit/>
          <w:trHeight w:val="1984" w:hRule="atLeast"/>
          <w:jc w:val="center"/>
        </w:trPr>
        <w:tc>
          <w:tcPr>
            <w:tcW w:w="911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及成果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近年来教研情况</w:t>
            </w:r>
          </w:p>
        </w:tc>
        <w:tc>
          <w:tcPr>
            <w:tcW w:w="7668" w:type="dxa"/>
            <w:gridSpan w:val="11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2" w:type="dxa"/>
          <w:cantSplit/>
          <w:trHeight w:val="2275" w:hRule="atLeast"/>
          <w:jc w:val="center"/>
        </w:trPr>
        <w:tc>
          <w:tcPr>
            <w:tcW w:w="911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有关的工作情况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历年从事与高考</w:t>
            </w:r>
          </w:p>
        </w:tc>
        <w:tc>
          <w:tcPr>
            <w:tcW w:w="7668" w:type="dxa"/>
            <w:gridSpan w:val="11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2" w:type="dxa"/>
          <w:cantSplit/>
          <w:trHeight w:val="1703" w:hRule="atLeast"/>
          <w:jc w:val="center"/>
        </w:trPr>
        <w:tc>
          <w:tcPr>
            <w:tcW w:w="91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审核意见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学校人事部门</w:t>
            </w:r>
          </w:p>
        </w:tc>
        <w:tc>
          <w:tcPr>
            <w:tcW w:w="7668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Times New Roman"/>
                <w:sz w:val="24"/>
                <w:szCs w:val="24"/>
              </w:rPr>
            </w:pPr>
          </w:p>
          <w:p>
            <w:pPr>
              <w:ind w:firstLine="4930" w:firstLineChars="2054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盖章</w:t>
            </w:r>
          </w:p>
          <w:p>
            <w:pPr>
              <w:ind w:firstLine="6120" w:firstLineChars="2550"/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2" w:type="dxa"/>
          <w:cantSplit/>
          <w:trHeight w:val="1701" w:hRule="atLeast"/>
          <w:jc w:val="center"/>
        </w:trPr>
        <w:tc>
          <w:tcPr>
            <w:tcW w:w="911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审核意见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学校纪检部门</w:t>
            </w:r>
          </w:p>
        </w:tc>
        <w:tc>
          <w:tcPr>
            <w:tcW w:w="7668" w:type="dxa"/>
            <w:gridSpan w:val="11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1905</wp:posOffset>
                      </wp:positionV>
                      <wp:extent cx="635" cy="1266825"/>
                      <wp:effectExtent l="4445" t="0" r="13970" b="952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2668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377.8pt;margin-top:0.15pt;height:99.75pt;width:0.05pt;z-index:251660288;mso-width-relative:page;mso-height-relative:page;" filled="f" stroked="t" coordsize="21600,21600" o:gfxdata="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E58/dYAAAAIAQAADwAAAAAAAAABACAAAAAiAAAAZHJz&#10;L2Rvd25yZXYueG1sUEsBAhQAFAAAAAgAh07iQFgeSs7NAQAAjwMAAA4AAAAAAAAAAQAgAAAAJ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-1905</wp:posOffset>
                      </wp:positionV>
                      <wp:extent cx="4857750" cy="0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7pt;margin-top:-0.15pt;height:0pt;width:382.5pt;z-index:251658240;mso-width-relative:page;mso-height-relative:page;" filled="f" stroked="t" coordsize="21600,21600" o:gfxdata="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Akc1NUAAAAHAQAADwAAAAAAAAABACAAAAAiAAAAZHJz&#10;L2Rvd25yZXYueG1sUEsBAhQAFAAAAAgAh07iQNrgdBbOAQAAjQMAAA4AAAAAAAAAAQAgAAAAJA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ind w:firstLine="4930" w:firstLineChars="2054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盖章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</w:p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2" w:type="dxa"/>
          <w:cantSplit/>
          <w:trHeight w:val="794" w:hRule="atLeast"/>
          <w:jc w:val="center"/>
        </w:trPr>
        <w:tc>
          <w:tcPr>
            <w:tcW w:w="9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备注</w:t>
            </w:r>
          </w:p>
        </w:tc>
        <w:tc>
          <w:tcPr>
            <w:tcW w:w="7668" w:type="dxa"/>
            <w:gridSpan w:val="11"/>
            <w:vAlign w:val="top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-2540</wp:posOffset>
                      </wp:positionV>
                      <wp:extent cx="4857750" cy="0"/>
                      <wp:effectExtent l="0" t="0" r="0" b="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5.45pt;margin-top:-0.2pt;height:0pt;width:382.5pt;z-index:251659264;mso-width-relative:page;mso-height-relative:page;" filled="f" stroked="t" coordsize="21600,21600" o:gfxdata="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hjbmR1AAAAAcBAAAPAAAAAAAAAAEAIAAAACIAAABkcnMv&#10;ZG93bnJldi54bWxQSwECFAAUAAAACACHTuJA176VP84BAACNAwAADgAAAAAAAAABACAAAAAj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黑体" w:hAnsi="Times New Roman" w:eastAsia="黑体"/>
          <w:sz w:val="24"/>
          <w:szCs w:val="24"/>
        </w:rPr>
        <w:t>说明：</w:t>
      </w:r>
      <w:r>
        <w:rPr>
          <w:rFonts w:ascii="Times New Roman" w:hAnsi="Times New Roman"/>
          <w:sz w:val="24"/>
          <w:szCs w:val="24"/>
        </w:rPr>
        <w:t>1．“教学专业”一栏为专家评委现在高校所从事的教学专业。</w:t>
      </w:r>
    </w:p>
    <w:p>
      <w:pPr>
        <w:ind w:firstLine="720" w:firstLineChars="3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．“承担评判项目”一栏由专家评委具体填写到小项，美术类包括素描、速写、色彩等小项；音乐类包括声乐、器乐（具体乐种）、视唱等小项；体育类包括田径、篮球、排球、足球、乒乓球、体操、武术、健美操、羽毛球等小项。</w:t>
      </w:r>
    </w:p>
    <w:p>
      <w:pPr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3．“裁判员等级”一栏为体育类专家评委填写，其他专家评委不需填写。</w:t>
      </w:r>
    </w:p>
    <w:p>
      <w:pPr>
        <w:ind w:left="-160" w:leftChars="-50" w:firstLine="480" w:firstLineChars="200"/>
        <w:rPr>
          <w:rFonts w:ascii="Times New Roman" w:hAnsi="Times New Roman"/>
          <w:sz w:val="24"/>
          <w:szCs w:val="24"/>
        </w:rPr>
      </w:pPr>
    </w:p>
    <w:p>
      <w:r>
        <w:rPr>
          <w:rFonts w:ascii="Times New Roman"/>
          <w:sz w:val="24"/>
          <w:szCs w:val="24"/>
        </w:rPr>
        <w:t xml:space="preserve">                       </w:t>
      </w:r>
      <w:r>
        <w:rPr>
          <w:rFonts w:hint="eastAsia" w:ascii="Times New Roman"/>
          <w:sz w:val="24"/>
          <w:szCs w:val="24"/>
        </w:rPr>
        <w:t xml:space="preserve">                         </w:t>
      </w:r>
      <w:r>
        <w:rPr>
          <w:rFonts w:ascii="Times New Roman"/>
          <w:sz w:val="24"/>
          <w:szCs w:val="24"/>
        </w:rPr>
        <w:t xml:space="preserve">  </w:t>
      </w:r>
      <w:r>
        <w:rPr>
          <w:rFonts w:hint="eastAsia" w:ascii="Times New Roman"/>
          <w:sz w:val="24"/>
          <w:szCs w:val="24"/>
        </w:rPr>
        <w:t>本人签名：</w:t>
      </w:r>
      <w:r>
        <w:rPr>
          <w:rFonts w:ascii="Times New Roman"/>
          <w:sz w:val="24"/>
          <w:szCs w:val="24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936EC"/>
    <w:rsid w:val="453579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/>
      <w:kern w:val="2"/>
      <w:sz w:val="32"/>
      <w:szCs w:val="8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内容"/>
    <w:qFormat/>
    <w:uiPriority w:val="0"/>
    <w:rPr>
      <w:rFonts w:ascii="仿宋_GB2312" w:hAnsi="华文中宋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2016-10-26T02:35:32Z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